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C3" w:rsidRPr="00B74A50" w:rsidRDefault="00BD63C3" w:rsidP="00B74A50">
      <w:pPr>
        <w:spacing w:after="0" w:line="240" w:lineRule="auto"/>
        <w:jc w:val="center"/>
        <w:rPr>
          <w:rFonts w:ascii="Arial" w:hAnsi="Arial" w:cs="Arial"/>
        </w:rPr>
      </w:pPr>
      <w:bookmarkStart w:id="0" w:name="_GoBack"/>
      <w:bookmarkEnd w:id="0"/>
      <w:r w:rsidRPr="00B74A50">
        <w:rPr>
          <w:rFonts w:ascii="Arial" w:hAnsi="Arial" w:cs="Arial"/>
        </w:rPr>
        <w:t>COMUNE DI RONCONE</w:t>
      </w:r>
    </w:p>
    <w:p w:rsidR="00BD63C3" w:rsidRPr="00B74A50" w:rsidRDefault="00BD63C3" w:rsidP="00B74A50">
      <w:pPr>
        <w:spacing w:after="0" w:line="240" w:lineRule="auto"/>
        <w:jc w:val="center"/>
        <w:rPr>
          <w:rFonts w:ascii="Arial" w:hAnsi="Arial" w:cs="Arial"/>
        </w:rPr>
      </w:pPr>
      <w:r w:rsidRPr="00B74A50">
        <w:rPr>
          <w:rFonts w:ascii="Arial" w:hAnsi="Arial" w:cs="Arial"/>
        </w:rPr>
        <w:t>Provincia di Trento</w:t>
      </w:r>
    </w:p>
    <w:p w:rsidR="00BD63C3" w:rsidRPr="00B74A50" w:rsidRDefault="00BD63C3" w:rsidP="00B74A50">
      <w:pPr>
        <w:spacing w:line="240" w:lineRule="auto"/>
        <w:ind w:left="709" w:hanging="709"/>
        <w:rPr>
          <w:rFonts w:ascii="Arial" w:hAnsi="Arial" w:cs="Arial"/>
        </w:rPr>
      </w:pP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t xml:space="preserve"> </w:t>
      </w:r>
      <w:r w:rsidRPr="00B74A50">
        <w:rPr>
          <w:rFonts w:ascii="Arial" w:hAnsi="Arial" w:cs="Arial"/>
        </w:rPr>
        <w:t>12</w:t>
      </w:r>
      <w:r w:rsidRPr="00B74A50">
        <w:rPr>
          <w:rFonts w:ascii="Arial" w:hAnsi="Arial" w:cs="Arial"/>
        </w:rPr>
        <w:t xml:space="preserve"> febbraio 2015 </w:t>
      </w:r>
    </w:p>
    <w:p w:rsidR="00BD63C3" w:rsidRPr="00B74A50" w:rsidRDefault="00BD63C3" w:rsidP="00B74A50">
      <w:pPr>
        <w:spacing w:line="240" w:lineRule="auto"/>
        <w:rPr>
          <w:rFonts w:ascii="Arial" w:hAnsi="Arial" w:cs="Arial"/>
        </w:rPr>
      </w:pPr>
      <w:r w:rsidRPr="00B74A50">
        <w:rPr>
          <w:rFonts w:ascii="Arial" w:hAnsi="Arial" w:cs="Arial"/>
        </w:rPr>
        <w:t xml:space="preserve">N. </w:t>
      </w:r>
      <w:proofErr w:type="spellStart"/>
      <w:r w:rsidRPr="00B74A50">
        <w:rPr>
          <w:rFonts w:ascii="Arial" w:hAnsi="Arial" w:cs="Arial"/>
        </w:rPr>
        <w:t>prot</w:t>
      </w:r>
      <w:proofErr w:type="spellEnd"/>
      <w:r w:rsidRPr="00B74A50">
        <w:rPr>
          <w:rFonts w:ascii="Arial" w:hAnsi="Arial" w:cs="Arial"/>
        </w:rPr>
        <w:t xml:space="preserve">. </w:t>
      </w:r>
      <w:r w:rsidR="00B74A50" w:rsidRPr="00B74A50">
        <w:rPr>
          <w:rFonts w:ascii="Arial" w:hAnsi="Arial" w:cs="Arial"/>
        </w:rPr>
        <w:t>706</w:t>
      </w:r>
    </w:p>
    <w:p w:rsidR="00BD63C3" w:rsidRPr="00B74A50" w:rsidRDefault="00BD63C3" w:rsidP="00B74A50">
      <w:pPr>
        <w:spacing w:after="0" w:line="240" w:lineRule="auto"/>
        <w:ind w:left="709" w:hanging="709"/>
        <w:jc w:val="center"/>
        <w:rPr>
          <w:rFonts w:ascii="Arial" w:hAnsi="Arial" w:cs="Arial"/>
        </w:rPr>
      </w:pPr>
      <w:r w:rsidRPr="00B74A50">
        <w:rPr>
          <w:rFonts w:ascii="Arial" w:hAnsi="Arial" w:cs="Arial"/>
        </w:rPr>
        <w:t xml:space="preserve">DETERMINAZIONE CON IMPEGNO DI SPESA </w:t>
      </w:r>
    </w:p>
    <w:p w:rsidR="00BD63C3" w:rsidRPr="00B74A50" w:rsidRDefault="00BD63C3" w:rsidP="00B74A50">
      <w:pPr>
        <w:spacing w:after="0" w:line="240" w:lineRule="auto"/>
        <w:ind w:left="709" w:hanging="709"/>
        <w:jc w:val="center"/>
        <w:rPr>
          <w:rFonts w:ascii="Arial" w:hAnsi="Arial" w:cs="Arial"/>
        </w:rPr>
      </w:pPr>
      <w:r w:rsidRPr="00B74A50">
        <w:rPr>
          <w:rFonts w:ascii="Arial" w:hAnsi="Arial" w:cs="Arial"/>
        </w:rPr>
        <w:t>DEL SEGRETARIO COMUNALE</w:t>
      </w:r>
    </w:p>
    <w:p w:rsidR="00BD63C3" w:rsidRPr="00B74A50" w:rsidRDefault="00BD63C3" w:rsidP="00B74A50">
      <w:pPr>
        <w:spacing w:line="240" w:lineRule="auto"/>
        <w:ind w:left="709" w:hanging="709"/>
        <w:rPr>
          <w:rFonts w:ascii="Arial" w:hAnsi="Arial" w:cs="Arial"/>
        </w:rPr>
      </w:pPr>
      <w:r w:rsidRPr="00B74A50">
        <w:rPr>
          <w:rFonts w:ascii="Arial" w:hAnsi="Arial" w:cs="Arial"/>
        </w:rPr>
        <w:t xml:space="preserve">N. </w:t>
      </w:r>
      <w:r w:rsidRPr="00B74A50">
        <w:rPr>
          <w:rFonts w:ascii="Arial" w:hAnsi="Arial" w:cs="Arial"/>
        </w:rPr>
        <w:t>6</w:t>
      </w:r>
    </w:p>
    <w:p w:rsidR="00024436" w:rsidRPr="00B74A50" w:rsidRDefault="00024436" w:rsidP="00B74A50">
      <w:pPr>
        <w:spacing w:after="0" w:line="240" w:lineRule="auto"/>
        <w:ind w:left="1134" w:hanging="1134"/>
        <w:jc w:val="both"/>
        <w:rPr>
          <w:rFonts w:ascii="Arial" w:hAnsi="Arial" w:cs="Arial"/>
        </w:rPr>
      </w:pPr>
      <w:r w:rsidRPr="00B74A50">
        <w:rPr>
          <w:rFonts w:ascii="Arial" w:hAnsi="Arial" w:cs="Arial"/>
        </w:rPr>
        <w:t>OGGETTO: incarico al Consorzio dei Comuni Trentini per la predisposizione del progetto di fusione dei Comuni di Breguzzo, Bondo, Roncone e Lardaro.</w:t>
      </w:r>
      <w:r w:rsidR="00B74A50" w:rsidRPr="00B74A50">
        <w:rPr>
          <w:rFonts w:ascii="Arial" w:hAnsi="Arial" w:cs="Arial"/>
        </w:rPr>
        <w:t xml:space="preserve"> </w:t>
      </w:r>
    </w:p>
    <w:p w:rsidR="00024436" w:rsidRPr="00B74A50" w:rsidRDefault="00024436" w:rsidP="00B74A50">
      <w:pPr>
        <w:spacing w:after="0" w:line="240" w:lineRule="auto"/>
        <w:ind w:left="1134" w:hanging="1134"/>
        <w:jc w:val="both"/>
        <w:rPr>
          <w:rFonts w:ascii="Arial" w:hAnsi="Arial" w:cs="Arial"/>
        </w:rPr>
      </w:pPr>
    </w:p>
    <w:p w:rsidR="00B74A50" w:rsidRPr="00B74A50" w:rsidRDefault="00B74A50" w:rsidP="00B74A50">
      <w:pPr>
        <w:spacing w:after="0" w:line="240" w:lineRule="auto"/>
        <w:ind w:left="1134" w:hanging="1134"/>
        <w:jc w:val="center"/>
        <w:rPr>
          <w:rFonts w:ascii="Arial" w:hAnsi="Arial" w:cs="Arial"/>
        </w:rPr>
      </w:pPr>
      <w:r w:rsidRPr="00B74A50">
        <w:rPr>
          <w:rFonts w:ascii="Arial" w:hAnsi="Arial" w:cs="Arial"/>
        </w:rPr>
        <w:t>IL SEGRETARIO COMUNALE</w:t>
      </w:r>
    </w:p>
    <w:p w:rsidR="00B74A50" w:rsidRPr="00B74A50" w:rsidRDefault="00B74A50" w:rsidP="00B74A50">
      <w:pPr>
        <w:spacing w:after="0" w:line="240" w:lineRule="auto"/>
        <w:ind w:left="1134" w:hanging="1134"/>
        <w:jc w:val="both"/>
        <w:rPr>
          <w:rFonts w:ascii="Arial" w:hAnsi="Arial" w:cs="Arial"/>
        </w:rPr>
      </w:pPr>
    </w:p>
    <w:p w:rsidR="00024436" w:rsidRPr="00B74A50" w:rsidRDefault="00024436" w:rsidP="00B74A50">
      <w:pPr>
        <w:spacing w:after="0" w:line="240" w:lineRule="auto"/>
        <w:ind w:left="1134" w:hanging="1134"/>
        <w:jc w:val="both"/>
        <w:rPr>
          <w:rFonts w:ascii="Arial" w:hAnsi="Arial" w:cs="Arial"/>
        </w:rPr>
      </w:pPr>
      <w:r w:rsidRPr="00B74A50">
        <w:rPr>
          <w:rFonts w:ascii="Arial" w:hAnsi="Arial" w:cs="Arial"/>
        </w:rPr>
        <w:t xml:space="preserve">Rilevato che con la deliberazione della Giunta comunale n. 19 del 5 febbraio 2015 si è stabilito quanto segue: </w:t>
      </w:r>
    </w:p>
    <w:p w:rsidR="00024436" w:rsidRPr="00B74A50" w:rsidRDefault="00024436" w:rsidP="00B74A50">
      <w:pPr>
        <w:spacing w:after="0" w:line="240" w:lineRule="auto"/>
        <w:ind w:left="1134" w:hanging="1134"/>
        <w:jc w:val="center"/>
        <w:rPr>
          <w:rFonts w:ascii="Arial Narrow" w:hAnsi="Arial Narrow"/>
          <w:i/>
        </w:rPr>
      </w:pPr>
      <w:r w:rsidRPr="00B74A50">
        <w:rPr>
          <w:rFonts w:ascii="Arial Narrow" w:hAnsi="Arial Narrow"/>
          <w:i/>
        </w:rPr>
        <w:t>-----------------------</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w:t>
      </w:r>
      <w:r w:rsidRPr="00B74A50">
        <w:rPr>
          <w:rFonts w:ascii="Arial Narrow" w:hAnsi="Arial Narrow"/>
          <w:i/>
          <w:sz w:val="18"/>
          <w:szCs w:val="18"/>
        </w:rPr>
        <w:t>OGGETTO: incarico al Consorzio dei Comuni Trentini per la predisposizione del progetto di fusione dei Comuni di Breguzzo, Bondo, Roncone e Lardaro.</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center"/>
        <w:rPr>
          <w:rFonts w:ascii="Arial Narrow" w:hAnsi="Arial Narrow"/>
          <w:i/>
          <w:sz w:val="18"/>
          <w:szCs w:val="18"/>
        </w:rPr>
      </w:pPr>
      <w:r w:rsidRPr="00B74A50">
        <w:rPr>
          <w:rFonts w:ascii="Arial Narrow" w:hAnsi="Arial Narrow"/>
          <w:i/>
          <w:sz w:val="18"/>
          <w:szCs w:val="18"/>
        </w:rPr>
        <w:t>LA GIUNTA COMUNALE</w:t>
      </w:r>
    </w:p>
    <w:p w:rsidR="00024436" w:rsidRPr="00B74A50" w:rsidRDefault="00024436" w:rsidP="00B74A50">
      <w:pPr>
        <w:spacing w:after="0" w:line="240" w:lineRule="auto"/>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Premesso che di recente si sono svolti alcuni incontri fra i rappresentanti dei Comuni di Breguzzo, Bondo, Roncone e Lardaro con lo scopo di valutare l’opportunità di fondersi per la costituzione di un Comune unico, e risulta che i rispettivi Consigli comunali, hanno deliberato favorevolmente a intraprendere questa strada;</w:t>
      </w:r>
    </w:p>
    <w:p w:rsidR="00BD63C3" w:rsidRPr="00B74A50" w:rsidRDefault="00BD63C3"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rilevata l’opportunità di predisporre un progetto di fusione costituito dall’analisi degli elementi in essere in ciascun Comune e delle opportunità di integrazione nel progetto di Comune unico, al fine anche di permettere ai cittadini di scegliere, con cognizione di causa, all’atto del referendum previsto dalla normativa in materia;</w:t>
      </w:r>
    </w:p>
    <w:p w:rsidR="00BD63C3" w:rsidRPr="00B74A50" w:rsidRDefault="00BD63C3"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rilevato che la predisposizione del progetto di fusione non può essere affidata agli uffici comunali, sia per la ristrettezza dei tempi che per l’assenza delle specifiche professionalità necessarie;</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acquisita la disponibilità del Consorzio dei Comuni Trentini per predisporre il progetto di fusione verso il corrispettivo di euro 7.000,00 oltre all’IVA 22%, come da comunicazione pervenuta in data 20 gennaio 2015. </w:t>
      </w:r>
      <w:proofErr w:type="spellStart"/>
      <w:r w:rsidRPr="00B74A50">
        <w:rPr>
          <w:rFonts w:ascii="Arial Narrow" w:hAnsi="Arial Narrow"/>
          <w:i/>
          <w:sz w:val="18"/>
          <w:szCs w:val="18"/>
        </w:rPr>
        <w:t>prot</w:t>
      </w:r>
      <w:proofErr w:type="spellEnd"/>
      <w:r w:rsidRPr="00B74A50">
        <w:rPr>
          <w:rFonts w:ascii="Arial Narrow" w:hAnsi="Arial Narrow"/>
          <w:i/>
          <w:sz w:val="18"/>
          <w:szCs w:val="18"/>
        </w:rPr>
        <w:t>. n. 278, dove si illustra anche l’ipotesi di poter finanziare la spesa con un contributo regionale, ai sensi del Regolamento per la concessione di contributi alle unioni dei Comuni di cui alla deliberazione della Giunta regionale n. 230 del 12 novembre 2013;</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visto l’art. 6, comma 6 del Testo coordinato dei criteri per l’erogazione dei contributi a favore delle unioni dei Comuni, approvato con deliberazione della Giunta regionale n. 1106 del 01.10.1999 e, da ultimo, modificato con deliberazione n. 230 del 12.11.2013, che prevede la concessione di un contributo sino al massimo del 70% della spesa per la predisposizione del progetto di fusione, con il limite di euro 1.500,00 per ciascun ente;</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rilevato come, secondo quanto segnala il Consorzio dei Comuni Trentini,  in situazioni analoghe la Giunta provinciale ha concretamente deliberato la concessione del contributo in misura pari al 60% della spesa prevista e quindi, nel caso di specie, tale intervento attendibile sarebbe  quantificabile in totali euro 4.200,00 seppure potrebbe essere superiore sino ad arrivare al 70%;</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rilevata quindi l’opportunità di chiedere alla Regione T.A.A., il contributo per la predisposizione del progetto di fusione il cui costo  si quantifica in euro 7.000,00 oltre ad I.V.A. del 22%, mentre rimarrà a carico dei Comuni di Breguzzo, Bondo, Roncone e Lardaro, l’importo residuo, ipotizzabile in euro 2.800,00 (qualora le cose vadano come ipotizzato dal Consorzio dei Comuni Trentini) da dividere in quattro parti uguali pari ad euro 700,00 oltre ad IVA (22%) ciascuna;</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rilevato che tuttavia attualmente in via prudenziale, in attesa dell’accertamento del contributo, per ottenere che il Consorzio dei Comuni trentini provveda alla predisposizione del progetto di fusione occorre assicurare che i Comuni concorrano a raggiungere la copertura dell’intera spesa, richiedendo contestualmente al Consorzio tale prestazione, </w:t>
      </w:r>
      <w:proofErr w:type="spellStart"/>
      <w:r w:rsidRPr="00B74A50">
        <w:rPr>
          <w:rFonts w:ascii="Arial Narrow" w:hAnsi="Arial Narrow"/>
          <w:i/>
          <w:sz w:val="18"/>
          <w:szCs w:val="18"/>
        </w:rPr>
        <w:t>cosicchè</w:t>
      </w:r>
      <w:proofErr w:type="spellEnd"/>
      <w:r w:rsidRPr="00B74A50">
        <w:rPr>
          <w:rFonts w:ascii="Arial Narrow" w:hAnsi="Arial Narrow"/>
          <w:i/>
          <w:sz w:val="18"/>
          <w:szCs w:val="18"/>
        </w:rPr>
        <w:t xml:space="preserve"> comunque con la presente si intende mettere a disposizione l’importo di  Euro 2.135,00;</w:t>
      </w:r>
    </w:p>
    <w:p w:rsidR="00024436" w:rsidRPr="00B74A50" w:rsidRDefault="00024436" w:rsidP="00B74A50">
      <w:pPr>
        <w:spacing w:after="0" w:line="240" w:lineRule="auto"/>
        <w:jc w:val="both"/>
        <w:rPr>
          <w:rFonts w:ascii="Arial" w:hAnsi="Arial" w:cs="Arial"/>
          <w:i/>
          <w:sz w:val="18"/>
          <w:szCs w:val="18"/>
        </w:rPr>
      </w:pPr>
    </w:p>
    <w:p w:rsidR="00024436" w:rsidRPr="00B74A50" w:rsidRDefault="00024436" w:rsidP="00B74A50">
      <w:pPr>
        <w:spacing w:after="0" w:line="240" w:lineRule="auto"/>
        <w:jc w:val="both"/>
        <w:rPr>
          <w:rFonts w:ascii="Arial Narrow" w:hAnsi="Arial Narrow" w:cs="Arial"/>
          <w:i/>
          <w:sz w:val="18"/>
          <w:szCs w:val="18"/>
        </w:rPr>
      </w:pPr>
      <w:r w:rsidRPr="00B74A50">
        <w:rPr>
          <w:rFonts w:ascii="Arial Narrow" w:hAnsi="Arial Narrow" w:cs="Arial"/>
          <w:i/>
          <w:sz w:val="18"/>
          <w:szCs w:val="18"/>
        </w:rPr>
        <w:t xml:space="preserve">evidenziato ora che nell’ambito del Protocollo d’Intesa in materia di finanza locale per l’anno 2015, sottoscritto in data 10 novembre 2014 tra la Provincia Autonoma di Trento ed il Consiglio delle Autonomie, è stato individuato nel </w:t>
      </w:r>
      <w:r w:rsidRPr="00B74A50">
        <w:rPr>
          <w:rFonts w:ascii="Arial Narrow" w:hAnsi="Arial Narrow" w:cs="Arial"/>
          <w:bCs/>
          <w:i/>
          <w:sz w:val="18"/>
          <w:szCs w:val="18"/>
        </w:rPr>
        <w:t>15 marzo 2015</w:t>
      </w:r>
      <w:r w:rsidRPr="00B74A50">
        <w:rPr>
          <w:rFonts w:ascii="Arial Narrow" w:hAnsi="Arial Narrow" w:cs="Arial"/>
          <w:i/>
          <w:sz w:val="18"/>
          <w:szCs w:val="18"/>
        </w:rPr>
        <w:t xml:space="preserve">, il termine per l’approvazione del bilancio di previsione 2015 di Comuni e Comunità, e questo comporta che per il Comune di Roncone, non essendo stato ancora approvato il bilancio 2015, fino all’approvazione del nuovo bilancio si avrà la particolare disciplina dell’attività contabile cosiddetta </w:t>
      </w:r>
      <w:r w:rsidRPr="00B74A50">
        <w:rPr>
          <w:rFonts w:ascii="Arial Narrow" w:hAnsi="Arial Narrow" w:cs="Arial"/>
          <w:bCs/>
          <w:i/>
          <w:sz w:val="18"/>
          <w:szCs w:val="18"/>
        </w:rPr>
        <w:t>dell’esercizio provvisorio</w:t>
      </w:r>
      <w:r w:rsidRPr="00B74A50">
        <w:rPr>
          <w:rFonts w:ascii="Arial Narrow" w:hAnsi="Arial Narrow" w:cs="Arial"/>
          <w:i/>
          <w:sz w:val="18"/>
          <w:szCs w:val="18"/>
        </w:rPr>
        <w:t xml:space="preserve"> ai sensi dell’art. 33 del Regolamento di attuazione dell’ordinamento finanziario e contabile degli enti locali, (D.P.G.R. 27.10.1999 n.8/L), modificato con Decreto della Presidente della Regione 6 dicembre 2001, n.16/L che prevede ”</w:t>
      </w:r>
      <w:r w:rsidRPr="00B74A50">
        <w:rPr>
          <w:rFonts w:ascii="Arial Narrow" w:hAnsi="Arial Narrow" w:cs="Arial"/>
          <w:i/>
          <w:iCs/>
          <w:sz w:val="18"/>
          <w:szCs w:val="18"/>
        </w:rPr>
        <w:t xml:space="preserve">Qualora l'accordo previsto dall’articolo 17 comma 55 della legge regionale 23 ottobre 1998 n. 10 fissi la scadenza del termine per l'adozione del bilancio in un periodo successivo all'inizio dell'anno, la gestione finanziaria è effettuata sulla base del bilancio relativo all'ultimo esercizio. In tal caso i comuni non possono impegnare per ciascun intervento somme superiori a </w:t>
      </w:r>
      <w:r w:rsidRPr="00B74A50">
        <w:rPr>
          <w:rFonts w:ascii="Arial Narrow" w:hAnsi="Arial Narrow" w:cs="Arial"/>
          <w:i/>
          <w:iCs/>
          <w:sz w:val="18"/>
          <w:szCs w:val="18"/>
        </w:rPr>
        <w:lastRenderedPageBreak/>
        <w:t>quelle definitivamente previste nel bilancio medesimo, ad eccezione delle spese tassativamente regolate dalla legge. I relativi pagamenti in conto competenza non possono mensilmente superare un dodicesimo delle rispettive somme impegnabili, ad eccezione delle spese non suscettibili di pagamento frazionato</w:t>
      </w:r>
      <w:r w:rsidRPr="00B74A50">
        <w:rPr>
          <w:rFonts w:ascii="Arial Narrow" w:hAnsi="Arial Narrow" w:cs="Arial"/>
          <w:i/>
          <w:sz w:val="18"/>
          <w:szCs w:val="18"/>
        </w:rPr>
        <w:t>.";</w:t>
      </w:r>
    </w:p>
    <w:p w:rsidR="00024436" w:rsidRPr="00B74A50" w:rsidRDefault="00024436" w:rsidP="00B74A50">
      <w:pPr>
        <w:spacing w:after="0" w:line="240" w:lineRule="auto"/>
        <w:jc w:val="both"/>
        <w:rPr>
          <w:rFonts w:ascii="Arial Narrow" w:hAnsi="Arial Narrow" w:cs="Arial"/>
          <w:i/>
          <w:sz w:val="18"/>
          <w:szCs w:val="18"/>
        </w:rPr>
      </w:pPr>
    </w:p>
    <w:p w:rsidR="00024436" w:rsidRPr="00B74A50" w:rsidRDefault="00024436" w:rsidP="00B74A50">
      <w:pPr>
        <w:spacing w:after="0" w:line="240" w:lineRule="auto"/>
        <w:jc w:val="both"/>
        <w:rPr>
          <w:rFonts w:ascii="Arial Narrow" w:hAnsi="Arial Narrow" w:cs="Arial"/>
          <w:i/>
          <w:sz w:val="18"/>
          <w:szCs w:val="18"/>
        </w:rPr>
      </w:pPr>
      <w:r w:rsidRPr="00B74A50">
        <w:rPr>
          <w:rFonts w:ascii="Arial Narrow" w:hAnsi="Arial Narrow" w:cs="Arial"/>
          <w:i/>
          <w:sz w:val="18"/>
          <w:szCs w:val="18"/>
        </w:rPr>
        <w:t xml:space="preserve">Rilevato che nei limiti di quanto detto sussiste la disponibilità per la copertura dell’impegno della spesa in corrispondenza delle previsioni  del bilancio già approvato per l’esercizio 2014 al quale si fa riferimento; </w:t>
      </w:r>
    </w:p>
    <w:p w:rsidR="00024436" w:rsidRPr="00B74A50" w:rsidRDefault="00024436" w:rsidP="00B74A50">
      <w:pPr>
        <w:spacing w:after="0" w:line="240" w:lineRule="auto"/>
        <w:jc w:val="both"/>
        <w:rPr>
          <w:rFonts w:ascii="Arial Narrow" w:hAnsi="Arial Narrow" w:cs="Arial"/>
          <w:i/>
          <w:sz w:val="18"/>
          <w:szCs w:val="18"/>
        </w:rPr>
      </w:pPr>
    </w:p>
    <w:p w:rsidR="00024436" w:rsidRPr="00B74A50" w:rsidRDefault="00024436" w:rsidP="00B74A50">
      <w:pPr>
        <w:spacing w:after="0" w:line="240" w:lineRule="auto"/>
        <w:jc w:val="both"/>
        <w:rPr>
          <w:rFonts w:ascii="Arial" w:hAnsi="Arial" w:cs="Arial"/>
          <w:i/>
          <w:sz w:val="18"/>
          <w:szCs w:val="18"/>
        </w:rPr>
      </w:pPr>
      <w:r w:rsidRPr="00B74A50">
        <w:rPr>
          <w:rFonts w:ascii="Arial Narrow" w:hAnsi="Arial Narrow" w:cs="Arial"/>
          <w:i/>
          <w:sz w:val="18"/>
          <w:szCs w:val="18"/>
        </w:rPr>
        <w:t>Dato atto che, sulla proposta della presente deliberazione sono stati espressi il parere di regolarità tecnico amministrativa e contabile con l’attestazione di copertura finanziaria del segretario comunale, anche in luogo del responsabile del servizio finanziario, che in questi giorni si è trovata in situazioni di impedimento al servizio che hanno implicato un impedimento all’istruttoria di alcune pratiche, compresa la presente</w:t>
      </w:r>
      <w:r w:rsidRPr="00B74A50">
        <w:rPr>
          <w:rFonts w:ascii="Arial" w:hAnsi="Arial" w:cs="Arial"/>
          <w:i/>
          <w:sz w:val="18"/>
          <w:szCs w:val="18"/>
        </w:rPr>
        <w:t xml:space="preserve">; </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Rilevato che il Sindaco ha consultato il Consorzio dei Comuni trentini per sapere a quale termine si possa fare riferimento per ottenere il progetto di fusione completo, e risulta dai contatti avuti che si possa fissare un termine al 31 marzo 2015; </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Visto lo Statuto comunale</w:t>
      </w:r>
    </w:p>
    <w:p w:rsidR="00024436" w:rsidRPr="00B74A50" w:rsidRDefault="00024436" w:rsidP="00B74A50">
      <w:pPr>
        <w:tabs>
          <w:tab w:val="left" w:pos="3969"/>
        </w:tabs>
        <w:spacing w:after="0" w:line="240" w:lineRule="auto"/>
        <w:jc w:val="both"/>
        <w:rPr>
          <w:rFonts w:ascii="Arial Narrow" w:hAnsi="Arial Narrow" w:cs="Arial"/>
          <w:i/>
          <w:sz w:val="18"/>
          <w:szCs w:val="18"/>
        </w:rPr>
      </w:pPr>
      <w:r w:rsidRPr="00B74A50">
        <w:rPr>
          <w:rFonts w:ascii="Arial Narrow" w:hAnsi="Arial Narrow" w:cs="Arial"/>
          <w:i/>
          <w:sz w:val="18"/>
          <w:szCs w:val="18"/>
        </w:rPr>
        <w:t>Visto il regolamento organico del personale dipendente, approvato con deliberazione del Consiglio comunale n. 59 del 27 dicembre 2000, esecutiva, all’art. 237 ed all’art. 248;</w:t>
      </w:r>
    </w:p>
    <w:p w:rsidR="00024436" w:rsidRPr="00B74A50" w:rsidRDefault="00024436" w:rsidP="00B74A50">
      <w:pPr>
        <w:spacing w:after="0" w:line="240" w:lineRule="auto"/>
        <w:jc w:val="both"/>
        <w:rPr>
          <w:rFonts w:ascii="Arial Narrow" w:hAnsi="Arial Narrow" w:cs="Arial"/>
          <w:i/>
          <w:sz w:val="18"/>
          <w:szCs w:val="18"/>
        </w:rPr>
      </w:pPr>
      <w:r w:rsidRPr="00B74A50">
        <w:rPr>
          <w:rFonts w:ascii="Arial Narrow" w:hAnsi="Arial Narrow" w:cs="Arial"/>
          <w:i/>
          <w:sz w:val="18"/>
          <w:szCs w:val="18"/>
        </w:rPr>
        <w:t xml:space="preserve">Visto il Regolamento di Contabilità approvato con la deliberazione del Consiglio Comunale n. 60 presente deliberazione;   </w:t>
      </w:r>
    </w:p>
    <w:p w:rsidR="00024436" w:rsidRPr="00B74A50" w:rsidRDefault="00024436" w:rsidP="00B74A50">
      <w:pPr>
        <w:tabs>
          <w:tab w:val="left" w:pos="3969"/>
        </w:tabs>
        <w:spacing w:after="0" w:line="240" w:lineRule="auto"/>
        <w:jc w:val="both"/>
        <w:rPr>
          <w:rFonts w:ascii="Arial Narrow" w:hAnsi="Arial Narrow" w:cs="Arial"/>
          <w:i/>
          <w:sz w:val="18"/>
          <w:szCs w:val="18"/>
        </w:rPr>
      </w:pPr>
      <w:r w:rsidRPr="00B74A50">
        <w:rPr>
          <w:rFonts w:ascii="Arial Narrow" w:hAnsi="Arial Narrow" w:cs="Arial"/>
          <w:i/>
          <w:sz w:val="18"/>
          <w:szCs w:val="18"/>
        </w:rPr>
        <w:t>Visto l'articolo 36 del D.P.G.R. 1° febbraio 2005, n. 2/L;</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Visto il T.U.LL.RR.O.C. approvato con DPGR 01.02.2005 n. 3/L e </w:t>
      </w:r>
      <w:proofErr w:type="spellStart"/>
      <w:r w:rsidRPr="00B74A50">
        <w:rPr>
          <w:rFonts w:ascii="Arial Narrow" w:hAnsi="Arial Narrow"/>
          <w:i/>
          <w:sz w:val="18"/>
          <w:szCs w:val="18"/>
        </w:rPr>
        <w:t>s.m</w:t>
      </w:r>
      <w:proofErr w:type="spellEnd"/>
      <w:r w:rsidRPr="00B74A50">
        <w:rPr>
          <w:rFonts w:ascii="Arial Narrow" w:hAnsi="Arial Narrow"/>
          <w:i/>
          <w:sz w:val="18"/>
          <w:szCs w:val="18"/>
        </w:rPr>
        <w:t>.</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Ad unanimità di voti favorevoli espressi per alzata di mano </w:t>
      </w:r>
    </w:p>
    <w:p w:rsidR="00024436" w:rsidRPr="00B74A50" w:rsidRDefault="00024436" w:rsidP="00B74A50">
      <w:pPr>
        <w:spacing w:after="0" w:line="240" w:lineRule="auto"/>
        <w:jc w:val="both"/>
        <w:rPr>
          <w:rFonts w:ascii="Arial Narrow" w:hAnsi="Arial Narrow"/>
          <w:i/>
          <w:sz w:val="18"/>
          <w:szCs w:val="18"/>
        </w:rPr>
      </w:pPr>
    </w:p>
    <w:p w:rsidR="00024436" w:rsidRPr="00B74A50" w:rsidRDefault="00024436" w:rsidP="00B74A50">
      <w:pPr>
        <w:spacing w:after="0" w:line="240" w:lineRule="auto"/>
        <w:jc w:val="center"/>
        <w:rPr>
          <w:rFonts w:ascii="Arial Narrow" w:hAnsi="Arial Narrow"/>
          <w:i/>
          <w:sz w:val="18"/>
          <w:szCs w:val="18"/>
        </w:rPr>
      </w:pPr>
      <w:r w:rsidRPr="00B74A50">
        <w:rPr>
          <w:rFonts w:ascii="Arial Narrow" w:hAnsi="Arial Narrow"/>
          <w:i/>
          <w:sz w:val="18"/>
          <w:szCs w:val="18"/>
        </w:rPr>
        <w:t>DELIBERA</w:t>
      </w:r>
    </w:p>
    <w:p w:rsidR="00024436" w:rsidRPr="00B74A50" w:rsidRDefault="00024436" w:rsidP="00B74A50">
      <w:pPr>
        <w:spacing w:after="0" w:line="240" w:lineRule="auto"/>
        <w:jc w:val="center"/>
        <w:rPr>
          <w:rFonts w:ascii="Arial Narrow" w:hAnsi="Arial Narrow"/>
          <w:i/>
          <w:sz w:val="18"/>
          <w:szCs w:val="18"/>
        </w:rPr>
      </w:pPr>
    </w:p>
    <w:p w:rsidR="00024436" w:rsidRPr="00B74A50" w:rsidRDefault="00024436" w:rsidP="00B74A50">
      <w:pPr>
        <w:numPr>
          <w:ilvl w:val="0"/>
          <w:numId w:val="1"/>
        </w:numPr>
        <w:spacing w:after="0" w:line="240" w:lineRule="auto"/>
        <w:ind w:left="0" w:firstLine="0"/>
        <w:jc w:val="both"/>
        <w:rPr>
          <w:rFonts w:ascii="Arial Narrow" w:hAnsi="Arial Narrow"/>
          <w:i/>
          <w:sz w:val="18"/>
          <w:szCs w:val="18"/>
        </w:rPr>
      </w:pPr>
      <w:r w:rsidRPr="00B74A50">
        <w:rPr>
          <w:rFonts w:ascii="Arial Narrow" w:hAnsi="Arial Narrow"/>
          <w:i/>
          <w:sz w:val="18"/>
          <w:szCs w:val="18"/>
        </w:rPr>
        <w:t>di DARE ATTO che i Comuni di Breguzzo, Bondo, Roncone e Lardaro si accingono a presentare domanda di contributo alla Regione, come in premessa specificato e che il relativo importo si stima in euro 4.200,00 + I.V.A. al 22 % a fronte del preventivo proposto dal Consorzio in complessivi euro 7.000,00 oltre ad IVA da suddividersi in parti eguali tra i quattro Comuni;</w:t>
      </w:r>
    </w:p>
    <w:p w:rsidR="00024436" w:rsidRPr="00B74A50" w:rsidRDefault="00024436" w:rsidP="00B74A50">
      <w:pPr>
        <w:numPr>
          <w:ilvl w:val="0"/>
          <w:numId w:val="1"/>
        </w:numPr>
        <w:spacing w:after="0" w:line="240" w:lineRule="auto"/>
        <w:ind w:left="0" w:firstLine="0"/>
        <w:jc w:val="both"/>
        <w:rPr>
          <w:rFonts w:ascii="Arial Narrow" w:hAnsi="Arial Narrow"/>
          <w:i/>
          <w:sz w:val="18"/>
          <w:szCs w:val="18"/>
        </w:rPr>
      </w:pPr>
      <w:r w:rsidRPr="00B74A50">
        <w:rPr>
          <w:rFonts w:ascii="Arial Narrow" w:hAnsi="Arial Narrow"/>
          <w:i/>
          <w:sz w:val="18"/>
          <w:szCs w:val="18"/>
        </w:rPr>
        <w:t>di DARE ATTO che la Regione procederà a versare direttamente al Consorzio l’importo del contributo;</w:t>
      </w:r>
    </w:p>
    <w:p w:rsidR="00024436" w:rsidRPr="00B74A50" w:rsidRDefault="00024436" w:rsidP="00B74A50">
      <w:pPr>
        <w:numPr>
          <w:ilvl w:val="0"/>
          <w:numId w:val="1"/>
        </w:numPr>
        <w:spacing w:after="0" w:line="240" w:lineRule="auto"/>
        <w:ind w:left="0" w:firstLine="0"/>
        <w:jc w:val="both"/>
        <w:rPr>
          <w:rFonts w:ascii="Arial Narrow" w:hAnsi="Arial Narrow"/>
          <w:i/>
          <w:sz w:val="18"/>
          <w:szCs w:val="18"/>
        </w:rPr>
      </w:pPr>
      <w:r w:rsidRPr="00B74A50">
        <w:rPr>
          <w:rFonts w:ascii="Arial Narrow" w:hAnsi="Arial Narrow"/>
          <w:i/>
          <w:sz w:val="18"/>
          <w:szCs w:val="18"/>
        </w:rPr>
        <w:t>di DARE ATTO che, conseguentemente, l’importo che verrà fatturato ai Comuni in esito al riconoscimento del contributo al Consorzio sarà pari ad euro 7.000,00, oltre ad oneri fiscali, e quindi di euro 1.750,00 + IVA per ciascun Comune;</w:t>
      </w:r>
    </w:p>
    <w:p w:rsidR="00024436" w:rsidRPr="00B74A50" w:rsidRDefault="00024436" w:rsidP="00B74A50">
      <w:pPr>
        <w:numPr>
          <w:ilvl w:val="0"/>
          <w:numId w:val="1"/>
        </w:numPr>
        <w:spacing w:after="0" w:line="240" w:lineRule="auto"/>
        <w:ind w:left="0" w:firstLine="0"/>
        <w:jc w:val="both"/>
        <w:rPr>
          <w:rFonts w:ascii="Arial Narrow" w:hAnsi="Arial Narrow"/>
          <w:i/>
          <w:sz w:val="18"/>
          <w:szCs w:val="18"/>
        </w:rPr>
      </w:pPr>
      <w:r w:rsidRPr="00B74A50">
        <w:rPr>
          <w:rFonts w:ascii="Arial Narrow" w:hAnsi="Arial Narrow"/>
          <w:i/>
          <w:sz w:val="18"/>
          <w:szCs w:val="18"/>
        </w:rPr>
        <w:t xml:space="preserve">di INCARICARE, per quanto esposto in premessa, e per quanto compete al Comune di Roncone il Consorzio dei Comuni Trentini con sede in Trento, via Torre Verde n. 23, della predisposizione del progetto di fusione dei Comuni di Breguzzo, Bondo, Roncone e Lardaro  come da proposta acquisita agli atti il 20 gennaio 2015. </w:t>
      </w:r>
      <w:proofErr w:type="spellStart"/>
      <w:r w:rsidRPr="00B74A50">
        <w:rPr>
          <w:rFonts w:ascii="Arial Narrow" w:hAnsi="Arial Narrow"/>
          <w:i/>
          <w:sz w:val="18"/>
          <w:szCs w:val="18"/>
        </w:rPr>
        <w:t>prot</w:t>
      </w:r>
      <w:proofErr w:type="spellEnd"/>
      <w:r w:rsidRPr="00B74A50">
        <w:rPr>
          <w:rFonts w:ascii="Arial Narrow" w:hAnsi="Arial Narrow"/>
          <w:i/>
          <w:sz w:val="18"/>
          <w:szCs w:val="18"/>
        </w:rPr>
        <w:t>. n. 278, verso il corrispettivo, per quanto riguarda il solo Comune di Roncone,  di euro 1.750,00 oltre all’IVA 22% per un totale di euro 2135,00;</w:t>
      </w:r>
    </w:p>
    <w:p w:rsidR="00024436" w:rsidRPr="00B74A50" w:rsidRDefault="00024436" w:rsidP="00B74A50">
      <w:pPr>
        <w:numPr>
          <w:ilvl w:val="0"/>
          <w:numId w:val="1"/>
        </w:numPr>
        <w:spacing w:after="0" w:line="240" w:lineRule="auto"/>
        <w:ind w:left="0" w:firstLine="0"/>
        <w:jc w:val="both"/>
        <w:rPr>
          <w:rFonts w:ascii="Arial Narrow" w:hAnsi="Arial Narrow"/>
          <w:i/>
          <w:sz w:val="18"/>
          <w:szCs w:val="18"/>
        </w:rPr>
      </w:pPr>
      <w:r w:rsidRPr="00B74A50">
        <w:rPr>
          <w:rFonts w:ascii="Arial Narrow" w:hAnsi="Arial Narrow"/>
          <w:i/>
          <w:sz w:val="18"/>
          <w:szCs w:val="18"/>
        </w:rPr>
        <w:t xml:space="preserve">di IMPEGNARE, per le ragioni esposte in premessa, la spesa complessiva di euro 2.135,00 all’intervento 1010203 del bilancio di previsione dell’anno 2014, al quale si fa riferimento in fase di esercizio provvisorio, e quindi al corrispondente intervento che sarà istituito nelle previsioni del bilancio per l’esercizio 2015; </w:t>
      </w:r>
    </w:p>
    <w:p w:rsidR="00024436" w:rsidRPr="00B74A50" w:rsidRDefault="00024436" w:rsidP="00B74A50">
      <w:pPr>
        <w:numPr>
          <w:ilvl w:val="0"/>
          <w:numId w:val="1"/>
        </w:numPr>
        <w:spacing w:after="0" w:line="240" w:lineRule="auto"/>
        <w:ind w:left="0" w:firstLine="0"/>
        <w:jc w:val="both"/>
        <w:rPr>
          <w:rFonts w:ascii="Arial Narrow" w:hAnsi="Arial Narrow"/>
          <w:i/>
          <w:sz w:val="18"/>
          <w:szCs w:val="18"/>
        </w:rPr>
      </w:pPr>
      <w:r w:rsidRPr="00B74A50">
        <w:rPr>
          <w:rFonts w:ascii="Arial Narrow" w:hAnsi="Arial Narrow"/>
          <w:i/>
          <w:sz w:val="18"/>
          <w:szCs w:val="18"/>
        </w:rPr>
        <w:t>di STABILIRE che il segretario comunale provveda a richiedere le prestazioni del Consorzio di predisposizione del progetto di fusione così da ottenerlo per il 31 marzo 2015;</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7. </w:t>
      </w:r>
      <w:r w:rsidRPr="00B74A50">
        <w:rPr>
          <w:rFonts w:ascii="Arial Narrow" w:hAnsi="Arial Narrow"/>
          <w:i/>
          <w:sz w:val="18"/>
          <w:szCs w:val="18"/>
        </w:rPr>
        <w:tab/>
        <w:t>di RICHIEDERE alla Regione T.A.A. il contributo per la predisposizione del progetto di fusione, previsto dall’art. 6, comma 6 del Testo coordinato dei criteri per l’erogazione dei contributi a favore delle Unioni (fusioni) dei Comuni;</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8. </w:t>
      </w:r>
      <w:r w:rsidRPr="00B74A50">
        <w:rPr>
          <w:rFonts w:ascii="Arial Narrow" w:hAnsi="Arial Narrow"/>
          <w:i/>
          <w:sz w:val="18"/>
          <w:szCs w:val="18"/>
        </w:rPr>
        <w:tab/>
        <w:t>di TRASMETTERE copia della presente deliberazione alla Regione T.A.A. e al Consorzio dei Comuni Trentini;</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9. </w:t>
      </w:r>
      <w:r w:rsidRPr="00B74A50">
        <w:rPr>
          <w:rFonts w:ascii="Arial Narrow" w:hAnsi="Arial Narrow"/>
          <w:i/>
          <w:sz w:val="18"/>
          <w:szCs w:val="18"/>
        </w:rPr>
        <w:tab/>
        <w:t>di DICHIARARE il presente provvedimento immediatamente esecutivo ai sensi dell’art. 79, 4° comma, del T.U.LL.RR.O.C. approvato con DPGR 01.02.2005 n. 3/L, al fine di permettere la tempestiva predisposizione del progetto di fusione, nei termini fissati dalla Regione T.A.A.;</w:t>
      </w:r>
    </w:p>
    <w:p w:rsidR="00024436" w:rsidRPr="00B74A50" w:rsidRDefault="00024436" w:rsidP="00B74A50">
      <w:pPr>
        <w:spacing w:after="0" w:line="240" w:lineRule="auto"/>
        <w:jc w:val="both"/>
        <w:rPr>
          <w:rFonts w:ascii="Arial Narrow" w:hAnsi="Arial Narrow"/>
          <w:i/>
          <w:sz w:val="18"/>
          <w:szCs w:val="18"/>
        </w:rPr>
      </w:pPr>
      <w:r w:rsidRPr="00B74A50">
        <w:rPr>
          <w:rFonts w:ascii="Arial Narrow" w:hAnsi="Arial Narrow"/>
          <w:i/>
          <w:sz w:val="18"/>
          <w:szCs w:val="18"/>
        </w:rPr>
        <w:t xml:space="preserve">10. </w:t>
      </w:r>
      <w:r w:rsidRPr="00B74A50">
        <w:rPr>
          <w:rFonts w:ascii="Arial Narrow" w:hAnsi="Arial Narrow"/>
          <w:i/>
          <w:sz w:val="18"/>
          <w:szCs w:val="18"/>
        </w:rPr>
        <w:tab/>
        <w:t xml:space="preserve">di DARE EVIDENZA che avverso la presente deliberazione è ammesso ricorso in opposizione alla Giunta comunale durante il periodo di pubblicazione ai sensi dell’art. 79, comma 5, del D.P.G.R. 01.02.2005 n. 3/L, ricorso giurisdizionale di fronte al T.R.G.A. entro 60 gg. ai sensi dell’art. 29 del </w:t>
      </w:r>
      <w:proofErr w:type="spellStart"/>
      <w:r w:rsidRPr="00B74A50">
        <w:rPr>
          <w:rFonts w:ascii="Arial Narrow" w:hAnsi="Arial Narrow"/>
          <w:i/>
          <w:sz w:val="18"/>
          <w:szCs w:val="18"/>
        </w:rPr>
        <w:t>D.Lgs.</w:t>
      </w:r>
      <w:proofErr w:type="spellEnd"/>
      <w:r w:rsidRPr="00B74A50">
        <w:rPr>
          <w:rFonts w:ascii="Arial Narrow" w:hAnsi="Arial Narrow"/>
          <w:i/>
          <w:sz w:val="18"/>
          <w:szCs w:val="18"/>
        </w:rPr>
        <w:t xml:space="preserve"> 02.07.2010 n. 104 o, in alternativa, ricorso straordinario al Presidente della Repubblica entro 120 gg. ai sensi dell’art. 8 del D.P.R. 24.11.1971 n. 1199.</w:t>
      </w:r>
      <w:r w:rsidRPr="00B74A50">
        <w:rPr>
          <w:rFonts w:ascii="Arial Narrow" w:hAnsi="Arial Narrow"/>
          <w:i/>
          <w:sz w:val="18"/>
          <w:szCs w:val="18"/>
        </w:rPr>
        <w:t>”</w:t>
      </w:r>
    </w:p>
    <w:p w:rsidR="00811AEE" w:rsidRPr="00B74A50" w:rsidRDefault="00024436" w:rsidP="00B74A50">
      <w:pPr>
        <w:spacing w:after="0" w:line="240" w:lineRule="auto"/>
        <w:rPr>
          <w:i/>
          <w:sz w:val="18"/>
          <w:szCs w:val="18"/>
        </w:rPr>
      </w:pPr>
      <w:r w:rsidRPr="00B74A50">
        <w:rPr>
          <w:i/>
          <w:sz w:val="18"/>
          <w:szCs w:val="18"/>
        </w:rPr>
        <w:t>----------------------------------</w:t>
      </w:r>
    </w:p>
    <w:p w:rsidR="00BD63C3" w:rsidRPr="00B74A50" w:rsidRDefault="00024436" w:rsidP="00F91FDE">
      <w:pPr>
        <w:spacing w:after="0" w:line="240" w:lineRule="auto"/>
        <w:ind w:left="709" w:hanging="709"/>
        <w:jc w:val="both"/>
        <w:rPr>
          <w:rFonts w:ascii="Arial" w:hAnsi="Arial" w:cs="Arial"/>
        </w:rPr>
      </w:pPr>
      <w:r w:rsidRPr="00B74A50">
        <w:rPr>
          <w:rFonts w:ascii="Arial" w:hAnsi="Arial" w:cs="Arial"/>
        </w:rPr>
        <w:t>Ritenuto ora di disporre l’incarico, per gli aspetti che riguardano il Comune di Roncone</w:t>
      </w:r>
      <w:r w:rsidR="004C6874">
        <w:rPr>
          <w:rFonts w:ascii="Arial" w:hAnsi="Arial" w:cs="Arial"/>
        </w:rPr>
        <w:t>;</w:t>
      </w:r>
    </w:p>
    <w:p w:rsidR="00F91FDE" w:rsidRDefault="00551F0E" w:rsidP="00F91FDE">
      <w:pPr>
        <w:spacing w:after="0" w:line="240" w:lineRule="auto"/>
        <w:ind w:left="709" w:hanging="709"/>
        <w:jc w:val="both"/>
        <w:rPr>
          <w:rFonts w:ascii="Arial" w:hAnsi="Arial" w:cs="Arial"/>
        </w:rPr>
      </w:pPr>
      <w:r>
        <w:rPr>
          <w:rFonts w:ascii="Arial" w:hAnsi="Arial" w:cs="Arial"/>
        </w:rPr>
        <w:t xml:space="preserve">Evidenziato che il Consorzio dei Comuni Trentini è una Società </w:t>
      </w:r>
      <w:r w:rsidRPr="000B661D">
        <w:rPr>
          <w:rFonts w:ascii="Arial" w:hAnsi="Arial" w:cs="Arial"/>
        </w:rPr>
        <w:t>mutualistica nell’intento di assicurare ai soci, tramite la gestione in forma associata attività nell’interesse dei soci in un quadro di miglioramento organizzativo e risparmio di spesa</w:t>
      </w:r>
      <w:r>
        <w:rPr>
          <w:rFonts w:ascii="Arial" w:hAnsi="Arial" w:cs="Arial"/>
        </w:rPr>
        <w:t xml:space="preserve">, che svolge rilevantissima </w:t>
      </w:r>
      <w:r w:rsidRPr="00C9662F">
        <w:rPr>
          <w:rFonts w:ascii="Arial" w:hAnsi="Arial" w:cs="Arial"/>
        </w:rPr>
        <w:t>attività</w:t>
      </w:r>
      <w:r>
        <w:rPr>
          <w:rFonts w:ascii="Arial" w:hAnsi="Arial" w:cs="Arial"/>
        </w:rPr>
        <w:t xml:space="preserve"> di </w:t>
      </w:r>
      <w:r w:rsidRPr="00C9662F">
        <w:rPr>
          <w:rFonts w:ascii="Arial" w:hAnsi="Arial" w:cs="Arial"/>
        </w:rPr>
        <w:t xml:space="preserve"> prestazione di ogni forma di assistenza agli enti soci, con riguardo al settore contrattuale, amministrativo, contabile, legale, fiscale, sindacale, organizzativo, economico e tecnico, che costituiscono servizi strumentali al funzionamento e allo svolgimento dei compiti istituzionali dell’ente locale e, pertanto, rientrano fra quelle strettamente necessarie per il perseguimento delle finalità istituzionali del medesimo ai sensi dell’articolo 3 comma 27 della legge finanziaria 2008, si configura come consorzio obbligatorio di funzioni </w:t>
      </w:r>
      <w:r>
        <w:rPr>
          <w:rFonts w:ascii="Arial" w:hAnsi="Arial" w:cs="Arial"/>
        </w:rPr>
        <w:t xml:space="preserve">e si configura altresì come società “in </w:t>
      </w:r>
      <w:proofErr w:type="spellStart"/>
      <w:r>
        <w:rPr>
          <w:rFonts w:ascii="Arial" w:hAnsi="Arial" w:cs="Arial"/>
        </w:rPr>
        <w:t>house</w:t>
      </w:r>
      <w:proofErr w:type="spellEnd"/>
      <w:r>
        <w:rPr>
          <w:rFonts w:ascii="Arial" w:hAnsi="Arial" w:cs="Arial"/>
        </w:rPr>
        <w:t>”</w:t>
      </w:r>
      <w:r w:rsidR="00F91FDE">
        <w:rPr>
          <w:rFonts w:ascii="Arial" w:hAnsi="Arial" w:cs="Arial"/>
        </w:rPr>
        <w:t xml:space="preserve">, e quindi nella sostanza come un ramo operativo proprio </w:t>
      </w:r>
      <w:proofErr w:type="spellStart"/>
      <w:r w:rsidR="00F91FDE">
        <w:rPr>
          <w:rFonts w:ascii="Arial" w:hAnsi="Arial" w:cs="Arial"/>
        </w:rPr>
        <w:t>cosicchè</w:t>
      </w:r>
      <w:proofErr w:type="spellEnd"/>
      <w:r w:rsidR="00F91FDE">
        <w:rPr>
          <w:rFonts w:ascii="Arial" w:hAnsi="Arial" w:cs="Arial"/>
        </w:rPr>
        <w:t xml:space="preserve"> l’incarico non è da annoverarsi propriamente tra gli incarichi esterni per quanto riguarda le modalità di scelta del contraente, </w:t>
      </w:r>
      <w:proofErr w:type="spellStart"/>
      <w:r w:rsidR="00F91FDE">
        <w:rPr>
          <w:rFonts w:ascii="Arial" w:hAnsi="Arial" w:cs="Arial"/>
        </w:rPr>
        <w:t>cosicchè</w:t>
      </w:r>
      <w:proofErr w:type="spellEnd"/>
      <w:r w:rsidR="00F91FDE">
        <w:rPr>
          <w:rFonts w:ascii="Arial" w:hAnsi="Arial" w:cs="Arial"/>
        </w:rPr>
        <w:t xml:space="preserve"> sia per questa ragione e sia per il particolare ruolo che la Società viene ad assumere, come indicato nella deliberazione sopra citata si ritiene non si applica al caso di specie </w:t>
      </w:r>
      <w:r w:rsidR="00F91FDE" w:rsidRPr="00AE23B0">
        <w:rPr>
          <w:rFonts w:ascii="Arial" w:hAnsi="Arial" w:cs="Arial"/>
        </w:rPr>
        <w:t xml:space="preserve">l’art. 1 del decreto legge 6 luglio 2012, n. 9 convertito con modificazioni dalla legge 7 agosto 2012, n. 135, </w:t>
      </w:r>
      <w:r w:rsidR="00F91FDE">
        <w:rPr>
          <w:rFonts w:ascii="Arial" w:hAnsi="Arial" w:cs="Arial"/>
        </w:rPr>
        <w:t xml:space="preserve">che dispone che </w:t>
      </w:r>
      <w:r w:rsidR="00F91FDE" w:rsidRPr="00AE23B0">
        <w:rPr>
          <w:rFonts w:ascii="Arial" w:hAnsi="Arial" w:cs="Arial"/>
        </w:rPr>
        <w:t xml:space="preserve">l’acquisizione di beni e servizi deve avvenire attraverso le Convenzioni o il mercato </w:t>
      </w:r>
      <w:r w:rsidR="00F91FDE" w:rsidRPr="00AE23B0">
        <w:rPr>
          <w:rFonts w:ascii="Arial" w:hAnsi="Arial" w:cs="Arial"/>
        </w:rPr>
        <w:lastRenderedPageBreak/>
        <w:t xml:space="preserve">elettronico di </w:t>
      </w:r>
      <w:proofErr w:type="spellStart"/>
      <w:r w:rsidR="00F91FDE" w:rsidRPr="00AE23B0">
        <w:rPr>
          <w:rFonts w:ascii="Arial" w:hAnsi="Arial" w:cs="Arial"/>
        </w:rPr>
        <w:t>Consip</w:t>
      </w:r>
      <w:proofErr w:type="spellEnd"/>
      <w:r w:rsidR="00F91FDE" w:rsidRPr="00AE23B0">
        <w:rPr>
          <w:rFonts w:ascii="Arial" w:hAnsi="Arial" w:cs="Arial"/>
        </w:rPr>
        <w:t xml:space="preserve"> S.p.a., sul sito “</w:t>
      </w:r>
      <w:proofErr w:type="spellStart"/>
      <w:r w:rsidR="00F91FDE" w:rsidRPr="00AE23B0">
        <w:rPr>
          <w:rFonts w:ascii="Arial" w:hAnsi="Arial" w:cs="Arial"/>
        </w:rPr>
        <w:t>Acquistinretepa</w:t>
      </w:r>
      <w:proofErr w:type="spellEnd"/>
      <w:r w:rsidR="00F91FDE" w:rsidRPr="00AE23B0">
        <w:rPr>
          <w:rFonts w:ascii="Arial" w:hAnsi="Arial" w:cs="Arial"/>
        </w:rPr>
        <w:t>” o altri Mercati elettronici della pubblica Amministrazione (nel sistema provinciale della provincia di Trento il sito denominato “Mercurio”)</w:t>
      </w:r>
      <w:r w:rsidR="004C6874">
        <w:rPr>
          <w:rFonts w:ascii="Arial" w:hAnsi="Arial" w:cs="Arial"/>
        </w:rPr>
        <w:t>;</w:t>
      </w:r>
      <w:r w:rsidR="00F91FDE" w:rsidRPr="00AE23B0">
        <w:rPr>
          <w:rFonts w:ascii="Arial" w:hAnsi="Arial" w:cs="Arial"/>
        </w:rPr>
        <w:t xml:space="preserve"> </w:t>
      </w:r>
    </w:p>
    <w:p w:rsidR="00F91FDE" w:rsidRDefault="00F91FDE" w:rsidP="00F91FDE">
      <w:pPr>
        <w:spacing w:after="0" w:line="240" w:lineRule="auto"/>
        <w:ind w:left="709" w:hanging="709"/>
        <w:jc w:val="both"/>
        <w:rPr>
          <w:rFonts w:ascii="Arial" w:hAnsi="Arial" w:cs="Arial"/>
        </w:rPr>
      </w:pPr>
      <w:r>
        <w:rPr>
          <w:rFonts w:ascii="Arial" w:hAnsi="Arial" w:cs="Arial"/>
        </w:rPr>
        <w:t>Evidenziato inoltre che le prestazioni che si chiedono al Consorzio sono particolari</w:t>
      </w:r>
      <w:r w:rsidR="002B0C14">
        <w:rPr>
          <w:rFonts w:ascii="Arial" w:hAnsi="Arial" w:cs="Arial"/>
        </w:rPr>
        <w:t xml:space="preserve">, come </w:t>
      </w:r>
      <w:r w:rsidR="004C6874">
        <w:rPr>
          <w:rFonts w:ascii="Arial" w:hAnsi="Arial" w:cs="Arial"/>
        </w:rPr>
        <w:t xml:space="preserve">indicato </w:t>
      </w:r>
      <w:r w:rsidR="002B0C14">
        <w:rPr>
          <w:rFonts w:ascii="Arial" w:hAnsi="Arial" w:cs="Arial"/>
        </w:rPr>
        <w:t xml:space="preserve">detto anche per l’aspetto dei rapporti con la Regione, e hanno anche un certo carattere di infungibilità tali da non poter essere direttamente inquadrabili tra prestazioni di servizi rinvenibili sul mercato elettronico;  </w:t>
      </w:r>
      <w:r>
        <w:rPr>
          <w:rFonts w:ascii="Arial" w:hAnsi="Arial" w:cs="Arial"/>
        </w:rPr>
        <w:t xml:space="preserve"> </w:t>
      </w:r>
    </w:p>
    <w:p w:rsidR="002B0C14" w:rsidRPr="00AE23B0" w:rsidRDefault="002B0C14" w:rsidP="00F91FDE">
      <w:pPr>
        <w:spacing w:after="0" w:line="240" w:lineRule="auto"/>
        <w:ind w:left="709" w:hanging="709"/>
        <w:jc w:val="both"/>
        <w:rPr>
          <w:rFonts w:ascii="Arial" w:hAnsi="Arial" w:cs="Arial"/>
        </w:rPr>
      </w:pPr>
      <w:r>
        <w:rPr>
          <w:rFonts w:ascii="Arial" w:hAnsi="Arial" w:cs="Arial"/>
        </w:rPr>
        <w:t>Evidenziato comunque che per l’importo limitato anche un affidamento esterno dell’incarico oggetto della presente determinazione sarebbe possibile a trattativa diretta ai sensi dell’art. 21 della L.P. 19 luglio 1990, n. 23;</w:t>
      </w:r>
    </w:p>
    <w:p w:rsidR="002B0C14" w:rsidRDefault="002B0C14" w:rsidP="00B74A50">
      <w:pPr>
        <w:spacing w:after="0" w:line="240" w:lineRule="auto"/>
        <w:ind w:left="709" w:hanging="709"/>
        <w:rPr>
          <w:rFonts w:ascii="Arial" w:hAnsi="Arial" w:cs="Arial"/>
        </w:rPr>
      </w:pPr>
      <w:r>
        <w:rPr>
          <w:rFonts w:ascii="Arial" w:hAnsi="Arial" w:cs="Arial"/>
        </w:rPr>
        <w:t xml:space="preserve">Cisto l’art. 21 della L.P. 19 luglio 1990, n. 23 laddove  </w:t>
      </w:r>
    </w:p>
    <w:p w:rsidR="00BD63C3" w:rsidRPr="00B74A50" w:rsidRDefault="00BD63C3" w:rsidP="00B74A50">
      <w:pPr>
        <w:spacing w:after="0" w:line="240" w:lineRule="auto"/>
        <w:ind w:left="709" w:hanging="709"/>
        <w:rPr>
          <w:rFonts w:ascii="Arial" w:hAnsi="Arial" w:cs="Arial"/>
        </w:rPr>
      </w:pPr>
      <w:r w:rsidRPr="00B74A50">
        <w:rPr>
          <w:rFonts w:ascii="Arial" w:hAnsi="Arial" w:cs="Arial"/>
        </w:rPr>
        <w:t>Visto l’art. 36 del Testo Unico approvato con D.P.G.R. 1° febbraio 2005, n. 2/L;</w:t>
      </w:r>
    </w:p>
    <w:p w:rsidR="00BD63C3" w:rsidRPr="00B74A50" w:rsidRDefault="00BD63C3" w:rsidP="00B74A50">
      <w:pPr>
        <w:pStyle w:val="Corpodeltesto2"/>
        <w:ind w:left="709" w:hanging="709"/>
        <w:rPr>
          <w:rFonts w:cs="Arial"/>
          <w:sz w:val="22"/>
          <w:szCs w:val="22"/>
        </w:rPr>
      </w:pPr>
      <w:r w:rsidRPr="00B74A50">
        <w:rPr>
          <w:rFonts w:cs="Arial"/>
          <w:sz w:val="22"/>
          <w:szCs w:val="22"/>
        </w:rPr>
        <w:t>Visto l’art. 17 del Regolamento comunale di Contabilità approvato con deliberazione del Consiglio Comunale n. 60 del 27.12.2000;</w:t>
      </w:r>
    </w:p>
    <w:p w:rsidR="00BD63C3" w:rsidRPr="00B74A50" w:rsidRDefault="00BD63C3" w:rsidP="00B74A50">
      <w:pPr>
        <w:pStyle w:val="Corpodeltesto2"/>
        <w:ind w:left="709" w:hanging="709"/>
        <w:rPr>
          <w:rFonts w:cs="Arial"/>
          <w:sz w:val="22"/>
          <w:szCs w:val="22"/>
        </w:rPr>
      </w:pPr>
      <w:r w:rsidRPr="00B74A50">
        <w:rPr>
          <w:rFonts w:cs="Arial"/>
          <w:sz w:val="22"/>
          <w:szCs w:val="22"/>
        </w:rPr>
        <w:t xml:space="preserve">Visto il Regolamento Organico del Personale Dipendente approvato con deliberazione del Consiglio Comunale n. 59 del 27.12.2000 ed in particolare gli artt. 237 e 248; </w:t>
      </w:r>
    </w:p>
    <w:p w:rsidR="00BD63C3" w:rsidRPr="00B74A50" w:rsidRDefault="00BD63C3" w:rsidP="00B74A50">
      <w:pPr>
        <w:spacing w:after="0" w:line="240" w:lineRule="auto"/>
        <w:ind w:left="709" w:hanging="709"/>
        <w:rPr>
          <w:rFonts w:ascii="Arial" w:hAnsi="Arial" w:cs="Arial"/>
        </w:rPr>
      </w:pPr>
    </w:p>
    <w:p w:rsidR="00024436" w:rsidRPr="00B74A50" w:rsidRDefault="00024436" w:rsidP="00B74A50">
      <w:pPr>
        <w:spacing w:after="0" w:line="240" w:lineRule="auto"/>
        <w:ind w:left="709" w:hanging="709"/>
        <w:jc w:val="center"/>
        <w:rPr>
          <w:rFonts w:ascii="Arial" w:hAnsi="Arial" w:cs="Arial"/>
        </w:rPr>
      </w:pPr>
      <w:r w:rsidRPr="00B74A50">
        <w:rPr>
          <w:rFonts w:ascii="Arial" w:hAnsi="Arial" w:cs="Arial"/>
        </w:rPr>
        <w:t>DETERMINA</w:t>
      </w:r>
    </w:p>
    <w:p w:rsidR="00BD63C3" w:rsidRPr="00B74A50" w:rsidRDefault="00BD63C3" w:rsidP="00B74A50">
      <w:pPr>
        <w:spacing w:after="0" w:line="240" w:lineRule="auto"/>
        <w:ind w:left="709" w:hanging="709"/>
        <w:jc w:val="both"/>
        <w:rPr>
          <w:rFonts w:ascii="Arial" w:hAnsi="Arial" w:cs="Arial"/>
        </w:rPr>
      </w:pPr>
    </w:p>
    <w:p w:rsidR="00024436" w:rsidRPr="00B74A50" w:rsidRDefault="00BD63C3" w:rsidP="00B74A50">
      <w:pPr>
        <w:spacing w:after="0" w:line="240" w:lineRule="auto"/>
        <w:ind w:left="709" w:hanging="709"/>
        <w:jc w:val="both"/>
        <w:rPr>
          <w:rFonts w:ascii="Arial" w:hAnsi="Arial" w:cs="Arial"/>
        </w:rPr>
      </w:pPr>
      <w:r w:rsidRPr="00B74A50">
        <w:rPr>
          <w:rFonts w:ascii="Arial" w:hAnsi="Arial" w:cs="Arial"/>
        </w:rPr>
        <w:t xml:space="preserve">1. </w:t>
      </w:r>
      <w:r w:rsidR="00B74A50" w:rsidRPr="00B74A50">
        <w:rPr>
          <w:rFonts w:ascii="Arial" w:hAnsi="Arial" w:cs="Arial"/>
        </w:rPr>
        <w:tab/>
      </w:r>
      <w:r w:rsidR="00024436" w:rsidRPr="00B74A50">
        <w:rPr>
          <w:rFonts w:ascii="Arial" w:hAnsi="Arial" w:cs="Arial"/>
        </w:rPr>
        <w:t>Di</w:t>
      </w:r>
      <w:r w:rsidR="00024436" w:rsidRPr="00B74A50">
        <w:rPr>
          <w:rFonts w:ascii="Arial" w:hAnsi="Arial" w:cs="Arial"/>
        </w:rPr>
        <w:t xml:space="preserve"> INCARICARE, per quanto esposto in premessa, e per quanto compete al Comune di Roncone</w:t>
      </w:r>
      <w:r w:rsidR="00F3535F">
        <w:rPr>
          <w:rFonts w:ascii="Arial" w:hAnsi="Arial" w:cs="Arial"/>
        </w:rPr>
        <w:t>,</w:t>
      </w:r>
      <w:r w:rsidR="00024436" w:rsidRPr="00B74A50">
        <w:rPr>
          <w:rFonts w:ascii="Arial" w:hAnsi="Arial" w:cs="Arial"/>
        </w:rPr>
        <w:t xml:space="preserve"> il Consorzio dei Comuni Trentini con sede in Trento, via Torre Verde n. 23, della predisposizione del progetto di fusione dei Comuni di Breguzzo, Bondo, Roncone e Lardaro  come da proposta acquisita agli atti il 20 gennaio 2015. </w:t>
      </w:r>
      <w:proofErr w:type="spellStart"/>
      <w:r w:rsidR="00024436" w:rsidRPr="00B74A50">
        <w:rPr>
          <w:rFonts w:ascii="Arial" w:hAnsi="Arial" w:cs="Arial"/>
        </w:rPr>
        <w:t>prot</w:t>
      </w:r>
      <w:proofErr w:type="spellEnd"/>
      <w:r w:rsidR="00024436" w:rsidRPr="00B74A50">
        <w:rPr>
          <w:rFonts w:ascii="Arial" w:hAnsi="Arial" w:cs="Arial"/>
        </w:rPr>
        <w:t>. n. 278, verso il corrispettivo, per quanto riguarda il solo Comune di Roncone,  di euro 1.750,00 oltre all’IVA 22% per un totale di euro 2</w:t>
      </w:r>
      <w:r w:rsidR="00F3535F">
        <w:rPr>
          <w:rFonts w:ascii="Arial" w:hAnsi="Arial" w:cs="Arial"/>
        </w:rPr>
        <w:t>.</w:t>
      </w:r>
      <w:r w:rsidR="00024436" w:rsidRPr="00B74A50">
        <w:rPr>
          <w:rFonts w:ascii="Arial" w:hAnsi="Arial" w:cs="Arial"/>
        </w:rPr>
        <w:t>135,00;</w:t>
      </w:r>
    </w:p>
    <w:p w:rsidR="00024436" w:rsidRPr="00B74A50" w:rsidRDefault="00BD63C3" w:rsidP="00B74A50">
      <w:pPr>
        <w:spacing w:after="0" w:line="240" w:lineRule="auto"/>
        <w:ind w:left="709" w:hanging="709"/>
        <w:jc w:val="both"/>
        <w:rPr>
          <w:rFonts w:ascii="Arial" w:hAnsi="Arial" w:cs="Arial"/>
        </w:rPr>
      </w:pPr>
      <w:r w:rsidRPr="00B74A50">
        <w:rPr>
          <w:rFonts w:ascii="Arial" w:hAnsi="Arial" w:cs="Arial"/>
        </w:rPr>
        <w:t xml:space="preserve">2. </w:t>
      </w:r>
      <w:r w:rsidR="00B74A50" w:rsidRPr="00B74A50">
        <w:rPr>
          <w:rFonts w:ascii="Arial" w:hAnsi="Arial" w:cs="Arial"/>
        </w:rPr>
        <w:tab/>
      </w:r>
      <w:r w:rsidR="00024436" w:rsidRPr="00B74A50">
        <w:rPr>
          <w:rFonts w:ascii="Arial" w:hAnsi="Arial" w:cs="Arial"/>
        </w:rPr>
        <w:t>D</w:t>
      </w:r>
      <w:r w:rsidR="00024436" w:rsidRPr="00B74A50">
        <w:rPr>
          <w:rFonts w:ascii="Arial" w:hAnsi="Arial" w:cs="Arial"/>
        </w:rPr>
        <w:t xml:space="preserve">i IMPEGNARE, per le ragioni esposte in premessa, la spesa complessiva di euro 2.135,00 all’intervento 1010203 del bilancio di previsione dell’anno 2014, al quale si fa riferimento in fase di esercizio provvisorio, e quindi al corrispondente intervento che sarà istituito nelle previsioni del bilancio per l’esercizio 2015; </w:t>
      </w:r>
    </w:p>
    <w:p w:rsidR="00024436" w:rsidRPr="00B74A50" w:rsidRDefault="00024436" w:rsidP="00B74A50">
      <w:pPr>
        <w:pStyle w:val="Paragrafoelenco"/>
        <w:numPr>
          <w:ilvl w:val="0"/>
          <w:numId w:val="3"/>
        </w:numPr>
        <w:spacing w:after="0" w:line="240" w:lineRule="auto"/>
        <w:ind w:left="709" w:hanging="709"/>
        <w:jc w:val="both"/>
        <w:rPr>
          <w:rFonts w:ascii="Arial" w:hAnsi="Arial" w:cs="Arial"/>
        </w:rPr>
      </w:pPr>
      <w:r w:rsidRPr="00B74A50">
        <w:rPr>
          <w:rFonts w:ascii="Arial" w:hAnsi="Arial" w:cs="Arial"/>
        </w:rPr>
        <w:t>DI</w:t>
      </w:r>
      <w:r w:rsidRPr="00B74A50">
        <w:rPr>
          <w:rFonts w:ascii="Arial" w:hAnsi="Arial" w:cs="Arial"/>
        </w:rPr>
        <w:t xml:space="preserve"> STABILIRE che il segretario comunale provveda a richiedere le prestazioni del Consorzio di predisposizione del progetto di fusione così da ottenerlo per il 31 marzo 2015;</w:t>
      </w:r>
    </w:p>
    <w:p w:rsidR="00B74A50" w:rsidRPr="00B74A50" w:rsidRDefault="00B74A50" w:rsidP="00B74A50">
      <w:pPr>
        <w:spacing w:after="0" w:line="240" w:lineRule="auto"/>
        <w:jc w:val="both"/>
        <w:rPr>
          <w:rFonts w:ascii="Arial" w:hAnsi="Arial" w:cs="Arial"/>
        </w:rPr>
      </w:pPr>
      <w:r w:rsidRPr="00B74A50">
        <w:rPr>
          <w:rFonts w:ascii="Arial" w:hAnsi="Arial" w:cs="Arial"/>
        </w:rPr>
        <w:t>4</w:t>
      </w:r>
      <w:r w:rsidRPr="00B74A50">
        <w:rPr>
          <w:rFonts w:ascii="Arial" w:hAnsi="Arial" w:cs="Arial"/>
        </w:rPr>
        <w:t xml:space="preserve"> </w:t>
      </w:r>
      <w:r w:rsidRPr="00B74A50">
        <w:rPr>
          <w:rFonts w:ascii="Arial" w:hAnsi="Arial" w:cs="Arial"/>
        </w:rPr>
        <w:tab/>
      </w:r>
      <w:r w:rsidRPr="00B74A50">
        <w:rPr>
          <w:rFonts w:ascii="Arial" w:hAnsi="Arial" w:cs="Arial"/>
        </w:rPr>
        <w:t>Di dare evidenza che avverso la presente sono ammessi i seguenti ricorsi:</w:t>
      </w:r>
    </w:p>
    <w:p w:rsidR="00B74A50" w:rsidRPr="00B74A50" w:rsidRDefault="00B74A50" w:rsidP="00B74A50">
      <w:pPr>
        <w:spacing w:after="0" w:line="240" w:lineRule="auto"/>
        <w:jc w:val="both"/>
        <w:rPr>
          <w:rFonts w:ascii="Arial" w:hAnsi="Arial" w:cs="Arial"/>
        </w:rPr>
      </w:pPr>
      <w:r w:rsidRPr="00B74A50">
        <w:rPr>
          <w:rFonts w:ascii="Arial" w:hAnsi="Arial" w:cs="Arial"/>
        </w:rPr>
        <w:t>- ricorso straordinario al Presidente della Repubblica da parte di chi vi abbia interesse, per i motivi di legittimità entro 120 giorni ai sensi del DPR 24.11.1971 n. 1199;</w:t>
      </w:r>
    </w:p>
    <w:p w:rsidR="00B74A50" w:rsidRPr="00B74A50" w:rsidRDefault="00B74A50" w:rsidP="00B74A50">
      <w:pPr>
        <w:pStyle w:val="Rientrocorpodeltesto2"/>
        <w:spacing w:after="0" w:line="240" w:lineRule="auto"/>
        <w:ind w:left="0"/>
        <w:jc w:val="both"/>
        <w:rPr>
          <w:rFonts w:ascii="Arial" w:hAnsi="Arial" w:cs="Arial"/>
        </w:rPr>
      </w:pPr>
      <w:r w:rsidRPr="00B74A50">
        <w:rPr>
          <w:rFonts w:ascii="Arial" w:hAnsi="Arial" w:cs="Arial"/>
        </w:rPr>
        <w:t>- ricorso giurisdizionale al TRGA di Trento da parte di chi vi abbia interesse entro 60 giorni (ricorso alternativo col precedente).</w:t>
      </w:r>
    </w:p>
    <w:p w:rsidR="00B74A50" w:rsidRPr="00B74A50" w:rsidRDefault="00512A85" w:rsidP="00B74A5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74A50" w:rsidRPr="00B74A50">
        <w:rPr>
          <w:rFonts w:ascii="Arial" w:hAnsi="Arial" w:cs="Arial"/>
        </w:rPr>
        <w:t>IL SEGRETARIO</w:t>
      </w:r>
    </w:p>
    <w:p w:rsidR="00B74A50" w:rsidRPr="00B74A50" w:rsidRDefault="00B74A50" w:rsidP="00B74A50">
      <w:pPr>
        <w:spacing w:line="240" w:lineRule="auto"/>
        <w:ind w:left="5940"/>
        <w:jc w:val="both"/>
        <w:rPr>
          <w:rFonts w:ascii="Arial" w:hAnsi="Arial" w:cs="Arial"/>
        </w:rPr>
      </w:pPr>
      <w:r w:rsidRPr="00B74A50">
        <w:rPr>
          <w:rFonts w:ascii="Arial" w:hAnsi="Arial" w:cs="Arial"/>
        </w:rPr>
        <w:t>Vincenzo Todaro</w:t>
      </w:r>
    </w:p>
    <w:p w:rsidR="00B74A50" w:rsidRPr="00B74A50" w:rsidRDefault="00B74A50" w:rsidP="00B74A50">
      <w:pPr>
        <w:spacing w:line="240" w:lineRule="auto"/>
        <w:ind w:left="709" w:hanging="709"/>
        <w:jc w:val="center"/>
        <w:rPr>
          <w:rFonts w:ascii="Arial" w:hAnsi="Arial" w:cs="Arial"/>
        </w:rPr>
      </w:pPr>
    </w:p>
    <w:p w:rsidR="00B74A50" w:rsidRPr="00B74A50" w:rsidRDefault="00B74A50" w:rsidP="00B74A50">
      <w:pPr>
        <w:spacing w:line="240" w:lineRule="auto"/>
        <w:ind w:left="709" w:hanging="709"/>
        <w:jc w:val="center"/>
        <w:rPr>
          <w:rFonts w:ascii="Arial" w:hAnsi="Arial" w:cs="Arial"/>
        </w:rPr>
      </w:pPr>
      <w:r w:rsidRPr="00B74A50">
        <w:rPr>
          <w:rFonts w:ascii="Arial" w:hAnsi="Arial" w:cs="Arial"/>
        </w:rPr>
        <w:t>VISTO DI REGOLARITÀ CONTABILE ED ATTESTAZIONE DI COPERTURA FINANZIARIA</w:t>
      </w:r>
    </w:p>
    <w:p w:rsidR="00B74A50" w:rsidRPr="00B74A50" w:rsidRDefault="00B74A50" w:rsidP="00B74A50">
      <w:pPr>
        <w:spacing w:line="240" w:lineRule="auto"/>
        <w:ind w:left="709" w:hanging="709"/>
        <w:jc w:val="both"/>
        <w:rPr>
          <w:rFonts w:ascii="Arial" w:hAnsi="Arial" w:cs="Arial"/>
        </w:rPr>
      </w:pPr>
      <w:r w:rsidRPr="00B74A50">
        <w:rPr>
          <w:rFonts w:ascii="Arial" w:hAnsi="Arial" w:cs="Arial"/>
        </w:rPr>
        <w:t xml:space="preserve">(art. 19, comma 1, D.P.G.R. 28 maggio 1999, n. 4/L modificato da D.P.Reg. 01.02.2005 n. 4/L, artt. 15 e 18 D.P.G.R. 27 ottobre 1999, n. 8/L, art. 25 del Regolamento comunale di contabilità, approvato con deliberazione del Consiglio comunale n. 60 del 27 dicembre 2000 e ss.mm.) </w:t>
      </w:r>
    </w:p>
    <w:p w:rsidR="00B74A50" w:rsidRPr="00B74A50" w:rsidRDefault="00B74A50" w:rsidP="00B74A50">
      <w:pPr>
        <w:spacing w:line="240" w:lineRule="auto"/>
        <w:ind w:left="709" w:hanging="709"/>
        <w:jc w:val="both"/>
        <w:rPr>
          <w:rFonts w:ascii="Arial" w:hAnsi="Arial" w:cs="Arial"/>
        </w:rPr>
      </w:pPr>
      <w:r w:rsidRPr="00B74A50">
        <w:rPr>
          <w:rFonts w:ascii="Arial" w:hAnsi="Arial" w:cs="Arial"/>
        </w:rPr>
        <w:t xml:space="preserve"> Presa visione della determinazione del segretario e della documentazione relativa, con la sotto estesa firma </w:t>
      </w:r>
    </w:p>
    <w:p w:rsidR="00B74A50" w:rsidRPr="00B74A50" w:rsidRDefault="00B74A50" w:rsidP="00B74A50">
      <w:pPr>
        <w:spacing w:line="240" w:lineRule="auto"/>
        <w:ind w:left="709" w:hanging="709"/>
        <w:jc w:val="both"/>
        <w:rPr>
          <w:rFonts w:ascii="Arial" w:hAnsi="Arial" w:cs="Arial"/>
        </w:rPr>
      </w:pPr>
      <w:r w:rsidRPr="00B74A50">
        <w:rPr>
          <w:rFonts w:ascii="Arial" w:hAnsi="Arial" w:cs="Arial"/>
        </w:rPr>
        <w:t>- appongo il “Visto di regolarità contabile attestando la copertura finanziaria”.</w:t>
      </w:r>
    </w:p>
    <w:p w:rsidR="00B74A50" w:rsidRPr="00B74A50" w:rsidRDefault="00B74A50" w:rsidP="00B74A50">
      <w:pPr>
        <w:spacing w:line="240" w:lineRule="auto"/>
        <w:ind w:left="709" w:hanging="709"/>
        <w:jc w:val="both"/>
        <w:rPr>
          <w:rFonts w:ascii="Arial" w:hAnsi="Arial" w:cs="Arial"/>
        </w:rPr>
      </w:pPr>
      <w:r w:rsidRPr="00B74A50">
        <w:rPr>
          <w:rFonts w:ascii="Arial" w:hAnsi="Arial" w:cs="Arial"/>
        </w:rPr>
        <w:t>Roncone,  il  ___________</w:t>
      </w:r>
    </w:p>
    <w:p w:rsidR="00B74A50" w:rsidRPr="00B74A50" w:rsidRDefault="00B74A50" w:rsidP="00B74A50">
      <w:pPr>
        <w:spacing w:line="240" w:lineRule="auto"/>
        <w:ind w:left="709" w:hanging="709"/>
        <w:jc w:val="both"/>
        <w:rPr>
          <w:rFonts w:ascii="Arial" w:hAnsi="Arial" w:cs="Arial"/>
        </w:rPr>
      </w:pP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t>IL RESPONSABILE DEL SERVIZIO FINANZIARIO</w:t>
      </w:r>
    </w:p>
    <w:p w:rsidR="00B74A50" w:rsidRPr="00B74A50" w:rsidRDefault="00B74A50" w:rsidP="00B74A50">
      <w:pPr>
        <w:spacing w:line="240" w:lineRule="auto"/>
        <w:ind w:left="709" w:hanging="709"/>
        <w:jc w:val="both"/>
        <w:rPr>
          <w:rFonts w:ascii="Arial" w:hAnsi="Arial" w:cs="Arial"/>
        </w:rPr>
      </w:pP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r>
      <w:r w:rsidRPr="00B74A50">
        <w:rPr>
          <w:rFonts w:ascii="Arial" w:hAnsi="Arial" w:cs="Arial"/>
        </w:rPr>
        <w:tab/>
        <w:t>Luisa Bassetti</w:t>
      </w:r>
      <w:r w:rsidRPr="00B74A50">
        <w:rPr>
          <w:rFonts w:ascii="Arial" w:hAnsi="Arial" w:cs="Arial"/>
        </w:rPr>
        <w:tab/>
      </w:r>
      <w:r w:rsidRPr="00B74A50">
        <w:rPr>
          <w:rFonts w:ascii="Arial" w:hAnsi="Arial" w:cs="Arial"/>
        </w:rPr>
        <w:tab/>
        <w:t xml:space="preserve"> </w:t>
      </w:r>
    </w:p>
    <w:sectPr w:rsidR="00B74A50" w:rsidRPr="00B74A50" w:rsidSect="00512A85">
      <w:pgSz w:w="11907" w:h="16839"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1A8"/>
    <w:multiLevelType w:val="hybridMultilevel"/>
    <w:tmpl w:val="9C1A1A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2A152A"/>
    <w:multiLevelType w:val="hybridMultilevel"/>
    <w:tmpl w:val="9EB61B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EFA4680"/>
    <w:multiLevelType w:val="hybridMultilevel"/>
    <w:tmpl w:val="A21A610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36"/>
    <w:rsid w:val="00024436"/>
    <w:rsid w:val="002B0C14"/>
    <w:rsid w:val="004C6874"/>
    <w:rsid w:val="00512A85"/>
    <w:rsid w:val="00551F0E"/>
    <w:rsid w:val="007B20D7"/>
    <w:rsid w:val="00811AEE"/>
    <w:rsid w:val="00B74A50"/>
    <w:rsid w:val="00BD63C3"/>
    <w:rsid w:val="00F3535F"/>
    <w:rsid w:val="00F91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4436"/>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4436"/>
    <w:pPr>
      <w:ind w:left="708"/>
    </w:pPr>
  </w:style>
  <w:style w:type="paragraph" w:styleId="Corpodeltesto2">
    <w:name w:val="Body Text 2"/>
    <w:basedOn w:val="Normale"/>
    <w:link w:val="Corpodeltesto2Carattere"/>
    <w:rsid w:val="00BD63C3"/>
    <w:pPr>
      <w:spacing w:after="0" w:line="240" w:lineRule="auto"/>
      <w:jc w:val="both"/>
    </w:pPr>
    <w:rPr>
      <w:rFonts w:ascii="Arial" w:eastAsia="Times New Roman" w:hAnsi="Arial"/>
      <w:sz w:val="24"/>
      <w:szCs w:val="20"/>
      <w:lang w:eastAsia="it-IT"/>
    </w:rPr>
  </w:style>
  <w:style w:type="character" w:customStyle="1" w:styleId="Corpodeltesto2Carattere">
    <w:name w:val="Corpo del testo 2 Carattere"/>
    <w:basedOn w:val="Carpredefinitoparagrafo"/>
    <w:link w:val="Corpodeltesto2"/>
    <w:rsid w:val="00BD63C3"/>
    <w:rPr>
      <w:rFonts w:ascii="Arial" w:eastAsia="Times New Roman" w:hAnsi="Arial" w:cs="Times New Roman"/>
      <w:sz w:val="24"/>
      <w:szCs w:val="20"/>
      <w:lang w:eastAsia="it-IT"/>
    </w:rPr>
  </w:style>
  <w:style w:type="paragraph" w:styleId="Testofumetto">
    <w:name w:val="Balloon Text"/>
    <w:basedOn w:val="Normale"/>
    <w:link w:val="TestofumettoCarattere"/>
    <w:uiPriority w:val="99"/>
    <w:semiHidden/>
    <w:unhideWhenUsed/>
    <w:rsid w:val="00B74A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4A50"/>
    <w:rPr>
      <w:rFonts w:ascii="Tahoma" w:eastAsia="Calibri" w:hAnsi="Tahoma" w:cs="Tahoma"/>
      <w:sz w:val="16"/>
      <w:szCs w:val="16"/>
    </w:rPr>
  </w:style>
  <w:style w:type="paragraph" w:styleId="Rientrocorpodeltesto2">
    <w:name w:val="Body Text Indent 2"/>
    <w:basedOn w:val="Normale"/>
    <w:link w:val="Rientrocorpodeltesto2Carattere"/>
    <w:uiPriority w:val="99"/>
    <w:semiHidden/>
    <w:unhideWhenUsed/>
    <w:rsid w:val="00B74A5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B74A50"/>
    <w:rPr>
      <w:rFonts w:ascii="Calibri" w:eastAsia="Calibri" w:hAnsi="Calibri" w:cs="Times New Roman"/>
    </w:rPr>
  </w:style>
  <w:style w:type="character" w:styleId="Enfasigrassetto">
    <w:name w:val="Strong"/>
    <w:uiPriority w:val="22"/>
    <w:qFormat/>
    <w:rsid w:val="00B74A50"/>
    <w:rPr>
      <w:b/>
      <w:bCs/>
    </w:rPr>
  </w:style>
  <w:style w:type="character" w:styleId="Enfasicorsivo">
    <w:name w:val="Emphasis"/>
    <w:uiPriority w:val="20"/>
    <w:qFormat/>
    <w:rsid w:val="00B74A50"/>
    <w:rPr>
      <w:i/>
      <w:iCs/>
    </w:rPr>
  </w:style>
  <w:style w:type="paragraph" w:styleId="Rientrocorpodeltesto3">
    <w:name w:val="Body Text Indent 3"/>
    <w:basedOn w:val="Normale"/>
    <w:link w:val="Rientrocorpodeltesto3Carattere"/>
    <w:uiPriority w:val="99"/>
    <w:semiHidden/>
    <w:unhideWhenUsed/>
    <w:rsid w:val="00B74A50"/>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B74A50"/>
    <w:rPr>
      <w:rFonts w:ascii="Times New Roman" w:eastAsia="Times New Roman" w:hAnsi="Times New Roman" w:cs="Times New Roman"/>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4436"/>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4436"/>
    <w:pPr>
      <w:ind w:left="708"/>
    </w:pPr>
  </w:style>
  <w:style w:type="paragraph" w:styleId="Corpodeltesto2">
    <w:name w:val="Body Text 2"/>
    <w:basedOn w:val="Normale"/>
    <w:link w:val="Corpodeltesto2Carattere"/>
    <w:rsid w:val="00BD63C3"/>
    <w:pPr>
      <w:spacing w:after="0" w:line="240" w:lineRule="auto"/>
      <w:jc w:val="both"/>
    </w:pPr>
    <w:rPr>
      <w:rFonts w:ascii="Arial" w:eastAsia="Times New Roman" w:hAnsi="Arial"/>
      <w:sz w:val="24"/>
      <w:szCs w:val="20"/>
      <w:lang w:eastAsia="it-IT"/>
    </w:rPr>
  </w:style>
  <w:style w:type="character" w:customStyle="1" w:styleId="Corpodeltesto2Carattere">
    <w:name w:val="Corpo del testo 2 Carattere"/>
    <w:basedOn w:val="Carpredefinitoparagrafo"/>
    <w:link w:val="Corpodeltesto2"/>
    <w:rsid w:val="00BD63C3"/>
    <w:rPr>
      <w:rFonts w:ascii="Arial" w:eastAsia="Times New Roman" w:hAnsi="Arial" w:cs="Times New Roman"/>
      <w:sz w:val="24"/>
      <w:szCs w:val="20"/>
      <w:lang w:eastAsia="it-IT"/>
    </w:rPr>
  </w:style>
  <w:style w:type="paragraph" w:styleId="Testofumetto">
    <w:name w:val="Balloon Text"/>
    <w:basedOn w:val="Normale"/>
    <w:link w:val="TestofumettoCarattere"/>
    <w:uiPriority w:val="99"/>
    <w:semiHidden/>
    <w:unhideWhenUsed/>
    <w:rsid w:val="00B74A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4A50"/>
    <w:rPr>
      <w:rFonts w:ascii="Tahoma" w:eastAsia="Calibri" w:hAnsi="Tahoma" w:cs="Tahoma"/>
      <w:sz w:val="16"/>
      <w:szCs w:val="16"/>
    </w:rPr>
  </w:style>
  <w:style w:type="paragraph" w:styleId="Rientrocorpodeltesto2">
    <w:name w:val="Body Text Indent 2"/>
    <w:basedOn w:val="Normale"/>
    <w:link w:val="Rientrocorpodeltesto2Carattere"/>
    <w:uiPriority w:val="99"/>
    <w:semiHidden/>
    <w:unhideWhenUsed/>
    <w:rsid w:val="00B74A5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B74A50"/>
    <w:rPr>
      <w:rFonts w:ascii="Calibri" w:eastAsia="Calibri" w:hAnsi="Calibri" w:cs="Times New Roman"/>
    </w:rPr>
  </w:style>
  <w:style w:type="character" w:styleId="Enfasigrassetto">
    <w:name w:val="Strong"/>
    <w:uiPriority w:val="22"/>
    <w:qFormat/>
    <w:rsid w:val="00B74A50"/>
    <w:rPr>
      <w:b/>
      <w:bCs/>
    </w:rPr>
  </w:style>
  <w:style w:type="character" w:styleId="Enfasicorsivo">
    <w:name w:val="Emphasis"/>
    <w:uiPriority w:val="20"/>
    <w:qFormat/>
    <w:rsid w:val="00B74A50"/>
    <w:rPr>
      <w:i/>
      <w:iCs/>
    </w:rPr>
  </w:style>
  <w:style w:type="paragraph" w:styleId="Rientrocorpodeltesto3">
    <w:name w:val="Body Text Indent 3"/>
    <w:basedOn w:val="Normale"/>
    <w:link w:val="Rientrocorpodeltesto3Carattere"/>
    <w:uiPriority w:val="99"/>
    <w:semiHidden/>
    <w:unhideWhenUsed/>
    <w:rsid w:val="00B74A50"/>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B74A50"/>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2124</Words>
  <Characters>12112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Todaro</dc:creator>
  <cp:lastModifiedBy>Vincenzo Todaro</cp:lastModifiedBy>
  <cp:revision>1</cp:revision>
  <cp:lastPrinted>2015-02-12T17:03:00Z</cp:lastPrinted>
  <dcterms:created xsi:type="dcterms:W3CDTF">2015-02-12T10:23:00Z</dcterms:created>
  <dcterms:modified xsi:type="dcterms:W3CDTF">2015-02-12T17:04:00Z</dcterms:modified>
</cp:coreProperties>
</file>